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D6" w:rsidRPr="00734140" w:rsidRDefault="009D47D6" w:rsidP="009D47D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734140">
        <w:rPr>
          <w:rFonts w:ascii="Times New Roman" w:hAnsi="Times New Roman" w:cs="Times New Roman"/>
          <w:sz w:val="25"/>
          <w:szCs w:val="25"/>
        </w:rPr>
        <w:t>Додаток до листа</w:t>
      </w:r>
    </w:p>
    <w:p w:rsidR="009D47D6" w:rsidRPr="00734140" w:rsidRDefault="00B27F16" w:rsidP="009D47D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734140">
        <w:rPr>
          <w:rFonts w:ascii="Times New Roman" w:hAnsi="Times New Roman" w:cs="Times New Roman"/>
          <w:sz w:val="25"/>
          <w:szCs w:val="25"/>
        </w:rPr>
        <w:t xml:space="preserve">від </w:t>
      </w:r>
      <w:r w:rsidR="001F1295">
        <w:rPr>
          <w:rFonts w:ascii="Times New Roman" w:hAnsi="Times New Roman" w:cs="Times New Roman"/>
          <w:sz w:val="25"/>
          <w:szCs w:val="25"/>
        </w:rPr>
        <w:t>21</w:t>
      </w:r>
      <w:bookmarkStart w:id="0" w:name="_GoBack"/>
      <w:bookmarkEnd w:id="0"/>
      <w:r w:rsidRPr="00734140">
        <w:rPr>
          <w:rFonts w:ascii="Times New Roman" w:hAnsi="Times New Roman" w:cs="Times New Roman"/>
          <w:sz w:val="25"/>
          <w:szCs w:val="25"/>
        </w:rPr>
        <w:t>.04.2020</w:t>
      </w:r>
      <w:r w:rsidR="009D47D6" w:rsidRPr="00734140">
        <w:rPr>
          <w:rFonts w:ascii="Times New Roman" w:hAnsi="Times New Roman" w:cs="Times New Roman"/>
          <w:sz w:val="25"/>
          <w:szCs w:val="25"/>
        </w:rPr>
        <w:t xml:space="preserve">  № </w:t>
      </w:r>
      <w:r w:rsidR="001F1295">
        <w:rPr>
          <w:rFonts w:ascii="Times New Roman" w:hAnsi="Times New Roman" w:cs="Times New Roman"/>
          <w:sz w:val="25"/>
          <w:szCs w:val="25"/>
        </w:rPr>
        <w:t>136</w:t>
      </w:r>
      <w:r w:rsidR="009D47D6" w:rsidRPr="0073414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D47D6" w:rsidRPr="00734140" w:rsidRDefault="009D47D6" w:rsidP="003514C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D47D6" w:rsidRPr="00734140" w:rsidRDefault="009D47D6" w:rsidP="009D47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41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 уваги </w:t>
      </w:r>
      <w:r w:rsidR="00482A35" w:rsidRPr="007341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представників бізнесу</w:t>
      </w:r>
      <w:r w:rsidRPr="007341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! </w:t>
      </w:r>
    </w:p>
    <w:p w:rsidR="009D47D6" w:rsidRPr="00734140" w:rsidRDefault="007F6A07" w:rsidP="009D47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внесення змін до деяких законодавчих актів на пер</w:t>
      </w:r>
      <w:r w:rsidR="00482A35" w:rsidRPr="007341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іод карантину</w:t>
      </w:r>
    </w:p>
    <w:p w:rsidR="00734140" w:rsidRDefault="00734140" w:rsidP="00482A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</w:pPr>
    </w:p>
    <w:p w:rsidR="00482A35" w:rsidRPr="00734140" w:rsidRDefault="00482A35" w:rsidP="00482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Для зменшення негативного впливу поширення COVID-19 та забезпечення виконання функцій держави </w:t>
      </w:r>
      <w:r w:rsidRPr="00734140">
        <w:rPr>
          <w:rFonts w:ascii="Times New Roman" w:hAnsi="Times New Roman" w:cs="Times New Roman"/>
          <w:color w:val="000000"/>
          <w:sz w:val="25"/>
          <w:szCs w:val="25"/>
        </w:rPr>
        <w:t xml:space="preserve"> Законом України «</w:t>
      </w:r>
      <w:r w:rsidRPr="00734140">
        <w:rPr>
          <w:rFonts w:ascii="Times New Roman" w:hAnsi="Times New Roman" w:cs="Times New Roman"/>
          <w:sz w:val="25"/>
          <w:szCs w:val="25"/>
        </w:rPr>
        <w:t xml:space="preserve">Про внесення змін до деяких законодавчих актів, спрямованих на забезпечення додаткових соціальних та економічних гарантій у зв’язку з поширенням  </w:t>
      </w:r>
      <w:proofErr w:type="spellStart"/>
      <w:r w:rsidRPr="00734140">
        <w:rPr>
          <w:rFonts w:ascii="Times New Roman" w:hAnsi="Times New Roman" w:cs="Times New Roman"/>
          <w:sz w:val="25"/>
          <w:szCs w:val="25"/>
        </w:rPr>
        <w:t>коронавірусної</w:t>
      </w:r>
      <w:proofErr w:type="spellEnd"/>
      <w:r w:rsidRPr="00734140">
        <w:rPr>
          <w:rFonts w:ascii="Times New Roman" w:hAnsi="Times New Roman" w:cs="Times New Roman"/>
          <w:sz w:val="25"/>
          <w:szCs w:val="25"/>
        </w:rPr>
        <w:t xml:space="preserve"> хвороби (COVID-2019)» від 30.03.2020 № 540-ІХ  внесено низку змін до чинних нормативно-</w:t>
      </w:r>
      <w:r w:rsidR="00734140">
        <w:rPr>
          <w:rFonts w:ascii="Times New Roman" w:hAnsi="Times New Roman" w:cs="Times New Roman"/>
          <w:sz w:val="25"/>
          <w:szCs w:val="25"/>
        </w:rPr>
        <w:t>правових актів</w:t>
      </w:r>
      <w:r w:rsidR="004F04FB">
        <w:rPr>
          <w:rFonts w:ascii="Times New Roman" w:hAnsi="Times New Roman" w:cs="Times New Roman"/>
          <w:sz w:val="25"/>
          <w:szCs w:val="25"/>
        </w:rPr>
        <w:t>, якими:</w:t>
      </w:r>
    </w:p>
    <w:p w:rsidR="00482A35" w:rsidRPr="00E02EBD" w:rsidRDefault="004F04FB" w:rsidP="00482A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</w:pPr>
      <w:r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з</w:t>
      </w:r>
      <w:r w:rsidR="00482A35"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більшено граничний річний обсяг доходу платників єдиного податку</w:t>
      </w:r>
      <w:r w:rsidR="00482A35" w:rsidRPr="00E02EBD">
        <w:rPr>
          <w:rFonts w:ascii="Times New Roman" w:hAnsi="Times New Roman" w:cs="Times New Roman"/>
          <w:i/>
          <w:color w:val="111111"/>
          <w:sz w:val="25"/>
          <w:szCs w:val="25"/>
          <w:bdr w:val="none" w:sz="0" w:space="0" w:color="auto" w:frame="1"/>
          <w:lang w:eastAsia="uk-UA"/>
        </w:rPr>
        <w:t> 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1 група – 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1 млн грн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 (раніше – 300 тис. грн); 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2 група –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="004F04FB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5 млн грн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 (раніше – 1,5 млн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грн); 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3 група –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7 млн грн</w:t>
      </w:r>
      <w:r w:rsidRPr="00E02EBD">
        <w:rPr>
          <w:rFonts w:ascii="Times New Roman" w:hAnsi="Times New Roman" w:cs="Times New Roman"/>
          <w:i/>
          <w:color w:val="111111"/>
          <w:sz w:val="25"/>
          <w:szCs w:val="25"/>
          <w:bdr w:val="none" w:sz="0" w:space="0" w:color="auto" w:frame="1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(раніше – 5 млн грн).</w:t>
      </w:r>
    </w:p>
    <w:p w:rsidR="00482A35" w:rsidRPr="00734140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Фізичним особам</w:t>
      </w:r>
      <w:r w:rsidR="004F04FB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 – підприємцям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 надано право на отримання податкової знижки з ПДФО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 xml:space="preserve"> на суми коштів або вартість товарів, які добровільно перераховані (передані) закладам охорони здоров’я для боротьби з COVID-2019</w:t>
      </w:r>
      <w:r w:rsidRPr="00734140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.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При розрахунку податку на прибуток юридичним особам надано право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 xml:space="preserve"> на віднесення до витрат сум коштів або вартості товарів, які добровільно перераховані (передані) закладам охорони здоров’я для боротьби з COVID-2019</w:t>
      </w:r>
      <w:r w:rsidRPr="00734140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.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Звільнено від ПДВ операції з ввезення та/або пост</w:t>
      </w:r>
      <w:r w:rsidRP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ачання ліків і медичних засобів</w:t>
      </w:r>
      <w:r w:rsidRPr="00734140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 xml:space="preserve"> (т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имчасово, на період з 17 березня 2020 року і до останнього числа місяця,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в якому завершується дія всеукраїнського карантину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)</w:t>
      </w:r>
      <w:r w:rsidRPr="00734140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.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Акцизний податок на спирт за ставкою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 0 гр</w:t>
      </w:r>
      <w:r w:rsidRP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ивень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734140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(т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имчасово, до </w:t>
      </w:r>
      <w:r w:rsid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                                             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31 травня 2020 року, акцизний податок справляється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за ставкою 0 гривень за 1 літр</w:t>
      </w:r>
      <w:r w:rsid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                 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100-відсоткового спирту із спирту етилового, який використовується для виробництва дезінфекційних засобів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)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. 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За порушення податкового законодавства, вчинені з 1 березня по </w:t>
      </w:r>
      <w:r w:rsid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                                                     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31 травня 2020 року, штрафні санкції не застосовуються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 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(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проте вказаним Законом був збільшений перелік порушень податкового законодавства, за вчинення яких штраф все ж може бути застосований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)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.</w:t>
      </w:r>
    </w:p>
    <w:p w:rsidR="00482A35" w:rsidRPr="00734140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Документальні та фактичні перевірки не проводяться</w:t>
      </w:r>
      <w:r w:rsidRPr="00734140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>.</w:t>
      </w:r>
      <w:r w:rsidRPr="00734140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Установлений мораторій на проведення документальних та фактичних перевірок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на період з 18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березня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по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31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травня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2020 року, за виключенням перевірок, перелік яких був розширений вказаним Законом в частині деяких фактичних перевірок.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Плата за землю та податок на нерухоме майно, відмінне від земельної ділянки, не нараховується та не сплачується до 31 березня 2020 року</w:t>
      </w:r>
      <w:r w:rsidRPr="00734140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 xml:space="preserve">.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Зменшено період, під час якого не нараховується та не сплачується плата за землю (земельний податок та орендна плата за земельні ділянки державної та комунальної власності) за земельні ділянки, що перебувають у власності або користуванні, у тому числі на умовах оренди, фізичних або </w:t>
      </w:r>
      <w:r w:rsidRP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юридичних осіб, та використовуються ними в господарській діяльності. </w:t>
      </w:r>
      <w:r w:rsidR="004F04FB" w:rsidRP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Попередньо</w:t>
      </w:r>
      <w:r w:rsidRP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>Закон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>ом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України 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>коронавірусної</w:t>
      </w:r>
      <w:proofErr w:type="spellEnd"/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хвороби (COVID-19)»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від 17.03.2020 </w:t>
      </w:r>
      <w:r w:rsidR="004F04FB" w:rsidRPr="004F04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 533-ІХ </w:t>
      </w:r>
      <w:r w:rsidRP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було визначено, що таким періодом є 1 березня –</w:t>
      </w:r>
      <w:r w:rsidRPr="004F04FB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4F04FB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30 квітня 2020 року</w:t>
      </w:r>
      <w:r w:rsidRPr="004F04F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,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наразі період було зменшено по 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31 березня 2020 року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. 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При цьому платники сплачують податкове зобов’язання зі сплати плати за землю за квітень 2020 року у повному обсязі у строк </w:t>
      </w:r>
      <w:r w:rsidRPr="00E02EBD">
        <w:rPr>
          <w:rFonts w:ascii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uk-UA"/>
        </w:rPr>
        <w:t>до 30 червня 2020 року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 без нарахування пені та штрафних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lastRenderedPageBreak/>
        <w:t>санкцій. Такі ж строки застосовуються і до платників податку на нерухоме майно, відмінне від земельної ділянки. </w:t>
      </w:r>
    </w:p>
    <w:p w:rsidR="00482A35" w:rsidRPr="00734140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Органам місцевого самоврядування у 2020 році надано право прийняти рішення</w:t>
      </w:r>
      <w:r w:rsidRPr="00E02EBD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щодо</w:t>
      </w:r>
      <w:r w:rsidRPr="00E02EBD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зменшення</w:t>
      </w:r>
      <w:r w:rsidRPr="00E02EBD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ставок</w:t>
      </w:r>
      <w:r w:rsidRPr="00E02EBD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єдиного податку</w:t>
      </w:r>
      <w:r w:rsidRP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 xml:space="preserve">. 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Прийнято рішення про звільнення від сплати ввізного мита</w:t>
      </w:r>
      <w:r w:rsidRPr="00734140"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  <w:t xml:space="preserve">.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Тимчасово, на період, що закінчується останнім числом місяця,</w:t>
      </w:r>
      <w:r w:rsidRPr="00E02EBD">
        <w:rPr>
          <w:rFonts w:ascii="Times New Roman" w:hAnsi="Times New Roman" w:cs="Times New Roman"/>
          <w:color w:val="111111"/>
          <w:sz w:val="25"/>
          <w:szCs w:val="25"/>
          <w:lang w:eastAsia="uk-UA"/>
        </w:rPr>
        <w:t> 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в якому завершується дія карантину, звільняються від сплати ввізного мита товари (в тому числі лікарські засоби, медичні вироби, медичне обладнання), необхідні для виконання заходів, спрямованих на запобігання виникненню і поширенню, пандемії </w:t>
      </w:r>
      <w:proofErr w:type="spellStart"/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коронавірусної</w:t>
      </w:r>
      <w:proofErr w:type="spellEnd"/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хвороби (COVID-19), перелік яких визначено</w:t>
      </w:r>
      <w:r w:rsidR="00F43AD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К</w:t>
      </w:r>
      <w:r w:rsidR="00BF5448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абінетом Міністрів України.</w:t>
      </w:r>
      <w:r w:rsidRPr="00734140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При цьому</w:t>
      </w:r>
      <w:r w:rsidR="00F43AD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митне оформлення</w:t>
      </w:r>
      <w:r w:rsidR="00F43AD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таких</w:t>
      </w:r>
      <w:r w:rsidR="00F43ADB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 xml:space="preserve"> </w:t>
      </w:r>
      <w:r w:rsidRPr="00E02EBD">
        <w:rPr>
          <w:rFonts w:ascii="Times New Roman" w:hAnsi="Times New Roman" w:cs="Times New Roman"/>
          <w:color w:val="111111"/>
          <w:sz w:val="25"/>
          <w:szCs w:val="25"/>
          <w:bdr w:val="none" w:sz="0" w:space="0" w:color="auto" w:frame="1"/>
          <w:lang w:eastAsia="uk-UA"/>
        </w:rPr>
        <w:t>товарів здійснюється першочергово.</w:t>
      </w:r>
    </w:p>
    <w:p w:rsidR="00482A35" w:rsidRPr="00734140" w:rsidRDefault="00482A35" w:rsidP="00482A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734140">
        <w:rPr>
          <w:bCs/>
          <w:i/>
          <w:color w:val="111111"/>
          <w:sz w:val="25"/>
          <w:szCs w:val="25"/>
          <w:bdr w:val="none" w:sz="0" w:space="0" w:color="auto" w:frame="1"/>
        </w:rPr>
        <w:t>Продовжена заборона проведення перевірок до</w:t>
      </w:r>
      <w:r w:rsidRPr="00E02EBD">
        <w:rPr>
          <w:i/>
          <w:color w:val="111111"/>
          <w:sz w:val="25"/>
          <w:szCs w:val="25"/>
          <w:bdr w:val="none" w:sz="0" w:space="0" w:color="auto" w:frame="1"/>
        </w:rPr>
        <w:t> </w:t>
      </w:r>
      <w:r w:rsidRPr="00E02EBD">
        <w:rPr>
          <w:bCs/>
          <w:i/>
          <w:color w:val="111111"/>
          <w:sz w:val="25"/>
          <w:szCs w:val="25"/>
          <w:bdr w:val="none" w:sz="0" w:space="0" w:color="auto" w:frame="1"/>
        </w:rPr>
        <w:t>30 червня 2020 року</w:t>
      </w:r>
      <w:r w:rsidRPr="00E02EBD">
        <w:rPr>
          <w:color w:val="111111"/>
          <w:sz w:val="25"/>
          <w:szCs w:val="25"/>
        </w:rPr>
        <w:t> </w:t>
      </w:r>
      <w:r w:rsidRPr="00E02EBD">
        <w:rPr>
          <w:color w:val="111111"/>
          <w:sz w:val="25"/>
          <w:szCs w:val="25"/>
          <w:bdr w:val="none" w:sz="0" w:space="0" w:color="auto" w:frame="1"/>
        </w:rPr>
        <w:t>органами державного нагляду (контролю) планових заходів із здійснення державного нагляду (контролю) у сфері господарської діяльності</w:t>
      </w:r>
      <w:r w:rsidRPr="00734140">
        <w:rPr>
          <w:color w:val="111111"/>
          <w:sz w:val="25"/>
          <w:szCs w:val="25"/>
          <w:bdr w:val="none" w:sz="0" w:space="0" w:color="auto" w:frame="1"/>
        </w:rPr>
        <w:t>,</w:t>
      </w:r>
      <w:r w:rsidRPr="00E02EBD">
        <w:rPr>
          <w:color w:val="111111"/>
          <w:sz w:val="25"/>
          <w:szCs w:val="25"/>
          <w:bdr w:val="none" w:sz="0" w:space="0" w:color="auto" w:frame="1"/>
        </w:rPr>
        <w:t> </w:t>
      </w:r>
      <w:r w:rsidRPr="00734140">
        <w:rPr>
          <w:color w:val="000000"/>
          <w:sz w:val="25"/>
          <w:szCs w:val="25"/>
        </w:rPr>
        <w:t>крім державного нагляду (контролю):</w:t>
      </w:r>
    </w:p>
    <w:p w:rsidR="00482A35" w:rsidRPr="00734140" w:rsidRDefault="00482A35" w:rsidP="00482A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bookmarkStart w:id="1" w:name="n323"/>
      <w:bookmarkEnd w:id="1"/>
      <w:r w:rsidRPr="00734140">
        <w:rPr>
          <w:color w:val="000000"/>
          <w:sz w:val="25"/>
          <w:szCs w:val="25"/>
        </w:rPr>
        <w:t>за діяльністю суб’єктів господарювання,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суб’єктів господарювання з високим ступенем ризику;</w:t>
      </w:r>
    </w:p>
    <w:p w:rsidR="00482A35" w:rsidRPr="00734140" w:rsidRDefault="00482A35" w:rsidP="00482A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bookmarkStart w:id="2" w:name="n324"/>
      <w:bookmarkEnd w:id="2"/>
      <w:r w:rsidRPr="00734140">
        <w:rPr>
          <w:color w:val="000000"/>
          <w:sz w:val="25"/>
          <w:szCs w:val="25"/>
        </w:rPr>
        <w:t>у сфері дотримання вимог щодо формування, встановлення та застосування державних регульованих цін;</w:t>
      </w:r>
    </w:p>
    <w:p w:rsidR="00482A35" w:rsidRPr="00734140" w:rsidRDefault="00482A35" w:rsidP="00482A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bookmarkStart w:id="3" w:name="n325"/>
      <w:bookmarkEnd w:id="3"/>
      <w:r w:rsidRPr="00734140">
        <w:rPr>
          <w:color w:val="000000"/>
          <w:sz w:val="25"/>
          <w:szCs w:val="25"/>
        </w:rPr>
        <w:t>у сфері санітарного та епідемічного благополуччя населення.</w:t>
      </w:r>
    </w:p>
    <w:p w:rsidR="00482A35" w:rsidRPr="00E02EBD" w:rsidRDefault="00482A35" w:rsidP="00482A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color w:val="111111"/>
          <w:sz w:val="25"/>
          <w:szCs w:val="25"/>
          <w:lang w:eastAsia="uk-UA"/>
        </w:rPr>
      </w:pPr>
      <w:r w:rsidRPr="00E02EBD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Заборонено підвищення процентних ставок за кредитними договорами</w:t>
      </w:r>
      <w:r w:rsidRPr="00734140">
        <w:rPr>
          <w:rFonts w:ascii="Times New Roman" w:hAnsi="Times New Roman" w:cs="Times New Roman"/>
          <w:bCs/>
          <w:i/>
          <w:color w:val="111111"/>
          <w:sz w:val="25"/>
          <w:szCs w:val="25"/>
          <w:bdr w:val="none" w:sz="0" w:space="0" w:color="auto" w:frame="1"/>
          <w:lang w:eastAsia="uk-UA"/>
        </w:rPr>
        <w:t>.</w:t>
      </w:r>
    </w:p>
    <w:p w:rsidR="00482A35" w:rsidRPr="00734140" w:rsidRDefault="008D37B9" w:rsidP="00482A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D37B9">
        <w:rPr>
          <w:rFonts w:ascii="Times New Roman" w:hAnsi="Times New Roman" w:cs="Times New Roman"/>
          <w:i/>
          <w:color w:val="000000"/>
          <w:sz w:val="25"/>
          <w:szCs w:val="25"/>
        </w:rPr>
        <w:t>З</w:t>
      </w:r>
      <w:r w:rsidR="00482A35" w:rsidRPr="008D37B9">
        <w:rPr>
          <w:rFonts w:ascii="Times New Roman" w:hAnsi="Times New Roman" w:cs="Times New Roman"/>
          <w:i/>
          <w:color w:val="000000"/>
          <w:sz w:val="25"/>
          <w:szCs w:val="25"/>
        </w:rPr>
        <w:t xml:space="preserve">апроваджується </w:t>
      </w:r>
      <w:r w:rsidR="00482A35" w:rsidRPr="00734140">
        <w:rPr>
          <w:rFonts w:ascii="Times New Roman" w:hAnsi="Times New Roman" w:cs="Times New Roman"/>
          <w:i/>
          <w:color w:val="000000"/>
          <w:sz w:val="25"/>
          <w:szCs w:val="25"/>
        </w:rPr>
        <w:t>поняття </w:t>
      </w:r>
      <w:r w:rsidR="00482A35" w:rsidRPr="00734140">
        <w:rPr>
          <w:rFonts w:ascii="Times New Roman" w:hAnsi="Times New Roman" w:cs="Times New Roman"/>
          <w:bCs/>
          <w:i/>
          <w:color w:val="000000"/>
          <w:sz w:val="25"/>
          <w:szCs w:val="25"/>
        </w:rPr>
        <w:t>часткового безробітт</w:t>
      </w:r>
      <w:r w:rsidR="00482A35" w:rsidRPr="0073414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я </w:t>
      </w:r>
      <w:r w:rsidR="00482A35" w:rsidRPr="00734140">
        <w:rPr>
          <w:rFonts w:ascii="Times New Roman" w:hAnsi="Times New Roman" w:cs="Times New Roman"/>
          <w:bCs/>
          <w:i/>
          <w:color w:val="000000"/>
          <w:sz w:val="25"/>
          <w:szCs w:val="25"/>
        </w:rPr>
        <w:t>для малого та середнього підприємництва</w:t>
      </w:r>
      <w:r w:rsidR="00482A35" w:rsidRPr="00734140">
        <w:rPr>
          <w:rFonts w:ascii="Times New Roman" w:hAnsi="Times New Roman" w:cs="Times New Roman"/>
          <w:color w:val="000000"/>
          <w:sz w:val="25"/>
          <w:szCs w:val="25"/>
        </w:rPr>
        <w:t xml:space="preserve">. Підтримка для виплат працівникам надаватиметься при збереженні за ними робочих місць. </w:t>
      </w:r>
    </w:p>
    <w:p w:rsidR="00482A35" w:rsidRPr="00734140" w:rsidRDefault="00482A35" w:rsidP="00482A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734140">
        <w:rPr>
          <w:color w:val="000000"/>
          <w:sz w:val="25"/>
          <w:szCs w:val="25"/>
          <w:lang w:val="uk-UA"/>
        </w:rPr>
        <w:t>Таку допомогу </w:t>
      </w:r>
      <w:r w:rsidRPr="00734140">
        <w:rPr>
          <w:bCs/>
          <w:color w:val="000000"/>
          <w:sz w:val="25"/>
          <w:szCs w:val="25"/>
          <w:lang w:val="uk-UA"/>
        </w:rPr>
        <w:t>надаватимуть застрахованим особам у разі втрати ними частини заробітної плати внаслідок вимушеного скорочення передбаченої законодавством тривалості робочого часу у зв’язку із зупиненням (скороченням) виробництва</w:t>
      </w:r>
      <w:r w:rsidRPr="00734140">
        <w:rPr>
          <w:color w:val="000000"/>
          <w:sz w:val="25"/>
          <w:szCs w:val="25"/>
          <w:lang w:val="uk-UA"/>
        </w:rPr>
        <w:t xml:space="preserve"> через проведення заходів щодо запобігання виникненню та поширенню </w:t>
      </w:r>
      <w:proofErr w:type="spellStart"/>
      <w:r w:rsidRPr="00734140">
        <w:rPr>
          <w:color w:val="000000"/>
          <w:sz w:val="25"/>
          <w:szCs w:val="25"/>
          <w:lang w:val="uk-UA"/>
        </w:rPr>
        <w:t>коронавірусної</w:t>
      </w:r>
      <w:proofErr w:type="spellEnd"/>
      <w:r w:rsidRPr="00734140">
        <w:rPr>
          <w:color w:val="000000"/>
          <w:sz w:val="25"/>
          <w:szCs w:val="25"/>
          <w:lang w:val="uk-UA"/>
        </w:rPr>
        <w:t xml:space="preserve"> хвороби (COVID-19), </w:t>
      </w:r>
      <w:r w:rsidRPr="00734140">
        <w:rPr>
          <w:bCs/>
          <w:color w:val="000000"/>
          <w:sz w:val="25"/>
          <w:szCs w:val="25"/>
          <w:lang w:val="uk-UA"/>
        </w:rPr>
        <w:t>за зверненням роботодавця</w:t>
      </w:r>
      <w:r w:rsidRPr="00734140">
        <w:rPr>
          <w:color w:val="000000"/>
          <w:sz w:val="25"/>
          <w:szCs w:val="25"/>
          <w:lang w:val="uk-UA"/>
        </w:rPr>
        <w:t> для її виплати працівникам.</w:t>
      </w:r>
    </w:p>
    <w:p w:rsidR="00482A35" w:rsidRPr="00734140" w:rsidRDefault="00482A35" w:rsidP="00482A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734140">
        <w:rPr>
          <w:color w:val="000000"/>
          <w:sz w:val="25"/>
          <w:szCs w:val="25"/>
          <w:lang w:val="uk-UA"/>
        </w:rPr>
        <w:t>Допомога по частковому безробіттю не надається у разі наявності у роботодавця заборгованості з виплати заробітної плати та сплати ЄСВ, яка виникла протягом п’яти років, що передують року зупинення виробництва.</w:t>
      </w:r>
    </w:p>
    <w:p w:rsidR="00482A35" w:rsidRPr="00734140" w:rsidRDefault="00482A35" w:rsidP="00482A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734140">
        <w:rPr>
          <w:color w:val="000000"/>
          <w:sz w:val="25"/>
          <w:szCs w:val="25"/>
          <w:lang w:val="uk-UA"/>
        </w:rPr>
        <w:t xml:space="preserve">Для отримання допомоги по частковому безробіттю роботодавець має право звернутися до територіального органу центрального органу виконавчої влади, що реалізує державну політику у сфері зайнятості населення та трудової міграції, за місцем реєстрації його як платника єдиного внеску на загальнообов’язкове державне соціальне страхування. </w:t>
      </w:r>
    </w:p>
    <w:p w:rsidR="00482A35" w:rsidRPr="00734140" w:rsidRDefault="00482A35" w:rsidP="00482A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734140">
        <w:rPr>
          <w:color w:val="000000"/>
          <w:sz w:val="25"/>
          <w:szCs w:val="25"/>
          <w:lang w:val="uk-UA"/>
        </w:rPr>
        <w:t>Право на допомогу мають застраховані особи, з якими роботодавцем оформлено трудові відносини (крім осіб, які отримують пенсію).</w:t>
      </w:r>
    </w:p>
    <w:p w:rsidR="00482A35" w:rsidRPr="00734140" w:rsidRDefault="00482A35" w:rsidP="00482A35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734140">
        <w:rPr>
          <w:rFonts w:ascii="Times New Roman" w:hAnsi="Times New Roman" w:cs="Times New Roman"/>
          <w:color w:val="000000"/>
          <w:sz w:val="25"/>
          <w:szCs w:val="25"/>
        </w:rPr>
        <w:t>Допомога по частковому безробіттю встановлюється </w:t>
      </w:r>
      <w:r w:rsidRPr="0073414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 кожну годину, на яку працівникові було скорочено передбачену законодавством тривалість робочого часу, із розрахунку двох третин тарифної ставки (окладу), встановленої працівникові відповідного розряду. </w:t>
      </w:r>
      <w:r w:rsidRPr="00734140">
        <w:rPr>
          <w:rFonts w:ascii="Times New Roman" w:hAnsi="Times New Roman" w:cs="Times New Roman"/>
          <w:color w:val="000000"/>
          <w:sz w:val="25"/>
          <w:szCs w:val="25"/>
        </w:rPr>
        <w:t xml:space="preserve">Розмір допомоги </w:t>
      </w:r>
      <w:r w:rsidRPr="00734140">
        <w:rPr>
          <w:rFonts w:ascii="Times New Roman" w:hAnsi="Times New Roman" w:cs="Times New Roman"/>
          <w:sz w:val="25"/>
          <w:szCs w:val="25"/>
        </w:rPr>
        <w:t>не може перевищувати розміру мінімальної заробітної плати, встановленої законом</w:t>
      </w:r>
      <w:r w:rsidRPr="00734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D47D6" w:rsidRPr="00734140" w:rsidRDefault="00482A35" w:rsidP="007341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734140">
        <w:rPr>
          <w:color w:val="000000"/>
          <w:sz w:val="25"/>
          <w:szCs w:val="25"/>
          <w:lang w:val="uk-UA"/>
        </w:rPr>
        <w:t>Роботодавець може звернутися за отриманням коштів для виплати працівникам допомоги по частковому безробіттю протягом 30 календарних днів з дня зупинення (скорочення) виробництва.</w:t>
      </w:r>
    </w:p>
    <w:sectPr w:rsidR="009D47D6" w:rsidRPr="0073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0B"/>
    <w:rsid w:val="001F1295"/>
    <w:rsid w:val="002D3DE8"/>
    <w:rsid w:val="003514C4"/>
    <w:rsid w:val="003C6155"/>
    <w:rsid w:val="00437254"/>
    <w:rsid w:val="00482A35"/>
    <w:rsid w:val="004F04FB"/>
    <w:rsid w:val="00734140"/>
    <w:rsid w:val="007F6A07"/>
    <w:rsid w:val="008D37B9"/>
    <w:rsid w:val="009D47D6"/>
    <w:rsid w:val="00A64D9A"/>
    <w:rsid w:val="00B27F16"/>
    <w:rsid w:val="00BF5448"/>
    <w:rsid w:val="00C24A3E"/>
    <w:rsid w:val="00F43ADB"/>
    <w:rsid w:val="00FA714F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B4A9-AA45-44D7-BC81-6792069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54"/>
    <w:rPr>
      <w:rFonts w:ascii="Segoe U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unhideWhenUsed/>
    <w:rsid w:val="0048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8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4183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2020-04-22T09:24:00Z</cp:lastPrinted>
  <dcterms:created xsi:type="dcterms:W3CDTF">2020-04-07T09:20:00Z</dcterms:created>
  <dcterms:modified xsi:type="dcterms:W3CDTF">2020-04-22T09:30:00Z</dcterms:modified>
</cp:coreProperties>
</file>